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5DB7" w14:textId="77777777" w:rsidR="001E39D9" w:rsidRDefault="00000000">
      <w:pPr>
        <w:spacing w:after="267"/>
      </w:pPr>
      <w:r>
        <w:rPr>
          <w:rFonts w:ascii="Arial" w:eastAsia="Arial" w:hAnsi="Arial" w:cs="Arial"/>
          <w:b/>
          <w:sz w:val="24"/>
        </w:rPr>
        <w:t>En avgjørende omstillingsperiode</w:t>
      </w:r>
    </w:p>
    <w:p w14:paraId="469A2B31" w14:textId="77777777" w:rsidR="001E39D9" w:rsidRDefault="00000000">
      <w:pPr>
        <w:spacing w:after="243" w:line="301" w:lineRule="auto"/>
        <w:ind w:left="-5" w:hanging="10"/>
      </w:pPr>
      <w:r>
        <w:rPr>
          <w:rFonts w:ascii="Arial" w:eastAsia="Arial" w:hAnsi="Arial" w:cs="Arial"/>
        </w:rPr>
        <w:t>Neste stortingsperiode vil være avgjørende både for norske klimamål, internasjonale klimaforpliktelser og for vår evne til å omstille norsk økonomi. IPCCs siste synteserapport fra mars 2023 advarte mot at “anslåtte CO2-utslipp fra eksisterende fossil energi, uten ytterligere reduksjon, vil overstige det gjenværende karbonbudsjettet for 1,5°C</w:t>
      </w:r>
      <w:r>
        <w:rPr>
          <w:rFonts w:ascii="Arial" w:eastAsia="Arial" w:hAnsi="Arial" w:cs="Arial"/>
          <w:sz w:val="20"/>
          <w:vertAlign w:val="superscript"/>
        </w:rPr>
        <w:footnoteReference w:id="1"/>
      </w:r>
      <w:r>
        <w:rPr>
          <w:rFonts w:ascii="Arial" w:eastAsia="Arial" w:hAnsi="Arial" w:cs="Arial"/>
        </w:rPr>
        <w:t>”. Samtidig ble verdens ledere nettopp enige om å fase ut fossil energi fra energisystemene, i klimaavtalen fra Dubai.</w:t>
      </w:r>
    </w:p>
    <w:p w14:paraId="2377DE6E" w14:textId="77777777" w:rsidR="001E39D9" w:rsidRDefault="00000000">
      <w:pPr>
        <w:spacing w:after="243" w:line="301" w:lineRule="auto"/>
        <w:ind w:left="-5" w:hanging="10"/>
      </w:pPr>
      <w:r>
        <w:rPr>
          <w:rFonts w:ascii="Arial" w:eastAsia="Arial" w:hAnsi="Arial" w:cs="Arial"/>
        </w:rPr>
        <w:t>Derfor burde Norge følge anbefalingen fra Klimautvalget 2050 om å stanse utbygging av ny petroleumsinfrastruktur, stanse leting etter olje og gass og lage en plan for utfasing av olje- og gassproduksjon. Utvalget fremhever at høyt tempo i oljesektoren reduserer evnen til å bygge ny, grønn industri og arbeidsplasser. For mange av hodene, hendene, krafta og kapitalen som trengs i det grønne skiftet er i dag bundet opp av oljesektoren.</w:t>
      </w:r>
    </w:p>
    <w:p w14:paraId="489CDD74" w14:textId="77777777" w:rsidR="001E39D9" w:rsidRDefault="00000000">
      <w:pPr>
        <w:spacing w:after="243" w:line="301" w:lineRule="auto"/>
        <w:ind w:left="-5" w:hanging="10"/>
      </w:pPr>
      <w:r>
        <w:rPr>
          <w:rFonts w:ascii="Arial" w:eastAsia="Arial" w:hAnsi="Arial" w:cs="Arial"/>
        </w:rPr>
        <w:t>Norge må derfor føre en aktiv politikk som iverksetter en grønn og rettferdig omstilling vekk fra olje og gass og til grønne næringer - for både å kutte utslipp og sikre framtidige grønne arbeidsplasser. Industri kan regnes som grønn når den gir reelle utslippskutt, ikke går på bekostning av sårbar natur og produksjonsformen ikke overskrider klodens bæreevne.</w:t>
      </w:r>
    </w:p>
    <w:p w14:paraId="44E88D86" w14:textId="38ACB124" w:rsidR="001E39D9" w:rsidRDefault="00000000">
      <w:pPr>
        <w:spacing w:after="243" w:line="301" w:lineRule="auto"/>
        <w:ind w:left="-5" w:hanging="10"/>
      </w:pPr>
      <w:r>
        <w:rPr>
          <w:rFonts w:ascii="Arial" w:eastAsia="Arial" w:hAnsi="Arial" w:cs="Arial"/>
        </w:rPr>
        <w:t>I stortingsperioden 2025 - 2029 må regjeringen:</w:t>
      </w:r>
    </w:p>
    <w:p w14:paraId="288A141D" w14:textId="77777777" w:rsidR="001E39D9" w:rsidRDefault="00000000">
      <w:pPr>
        <w:numPr>
          <w:ilvl w:val="0"/>
          <w:numId w:val="1"/>
        </w:numPr>
        <w:spacing w:after="4" w:line="299" w:lineRule="auto"/>
        <w:ind w:hanging="360"/>
      </w:pPr>
      <w:r>
        <w:rPr>
          <w:rFonts w:ascii="Arial" w:eastAsia="Arial" w:hAnsi="Arial" w:cs="Arial"/>
          <w:color w:val="333333"/>
        </w:rPr>
        <w:t>Sørge for at norsk petroleumspolitikk er i tråd med 1,5-gradersmålet gjennom hele verdikjeden (fra produksjon til og med forbrenning). Det samme gjelder norske selskapers virksomhet i utlandet.</w:t>
      </w:r>
    </w:p>
    <w:p w14:paraId="54326C7C" w14:textId="77777777" w:rsidR="001E39D9" w:rsidRDefault="00000000">
      <w:pPr>
        <w:numPr>
          <w:ilvl w:val="0"/>
          <w:numId w:val="1"/>
        </w:numPr>
        <w:spacing w:after="0" w:line="301" w:lineRule="auto"/>
        <w:ind w:hanging="360"/>
      </w:pPr>
      <w:r>
        <w:rPr>
          <w:rFonts w:ascii="Arial" w:eastAsia="Arial" w:hAnsi="Arial" w:cs="Arial"/>
        </w:rPr>
        <w:t xml:space="preserve">Utarbeide en plan for rettferdig omstilling vekk fra olje og gass, som </w:t>
      </w:r>
      <w:proofErr w:type="gramStart"/>
      <w:r>
        <w:rPr>
          <w:rFonts w:ascii="Arial" w:eastAsia="Arial" w:hAnsi="Arial" w:cs="Arial"/>
        </w:rPr>
        <w:t>fokuserer</w:t>
      </w:r>
      <w:proofErr w:type="gramEnd"/>
      <w:r>
        <w:rPr>
          <w:rFonts w:ascii="Arial" w:eastAsia="Arial" w:hAnsi="Arial" w:cs="Arial"/>
        </w:rPr>
        <w:t xml:space="preserve"> på kompetanse og rekruttering, støtteapparat for utsatte arbeidere og lokalsamfunn og arbeidsvilkår i nye grønne næringer.</w:t>
      </w:r>
    </w:p>
    <w:p w14:paraId="2D78A39F" w14:textId="77777777" w:rsidR="001E39D9" w:rsidRDefault="00000000">
      <w:pPr>
        <w:numPr>
          <w:ilvl w:val="0"/>
          <w:numId w:val="1"/>
        </w:numPr>
        <w:spacing w:after="4" w:line="299" w:lineRule="auto"/>
        <w:ind w:hanging="360"/>
      </w:pPr>
      <w:r>
        <w:rPr>
          <w:rFonts w:ascii="Arial" w:eastAsia="Arial" w:hAnsi="Arial" w:cs="Arial"/>
          <w:color w:val="333333"/>
        </w:rPr>
        <w:t>Stanse tildelingen av alle nye letelisenser på norsk sokkel.</w:t>
      </w:r>
    </w:p>
    <w:p w14:paraId="0829C4AF" w14:textId="77777777" w:rsidR="001E39D9" w:rsidRDefault="00000000">
      <w:pPr>
        <w:numPr>
          <w:ilvl w:val="0"/>
          <w:numId w:val="1"/>
        </w:numPr>
        <w:spacing w:after="4" w:line="299" w:lineRule="auto"/>
        <w:ind w:hanging="360"/>
      </w:pPr>
      <w:r>
        <w:rPr>
          <w:rFonts w:ascii="Arial" w:eastAsia="Arial" w:hAnsi="Arial" w:cs="Arial"/>
          <w:color w:val="333333"/>
        </w:rPr>
        <w:t>Ikke fornye eksisterende lisenser og avslå nye utbygginger på norsk sokkel. </w:t>
      </w:r>
    </w:p>
    <w:p w14:paraId="456B30B6" w14:textId="77777777" w:rsidR="001E39D9" w:rsidRDefault="00000000">
      <w:pPr>
        <w:numPr>
          <w:ilvl w:val="0"/>
          <w:numId w:val="1"/>
        </w:numPr>
        <w:spacing w:after="4" w:line="299" w:lineRule="auto"/>
        <w:ind w:hanging="360"/>
      </w:pPr>
      <w:r>
        <w:rPr>
          <w:rFonts w:ascii="Arial" w:eastAsia="Arial" w:hAnsi="Arial" w:cs="Arial"/>
          <w:color w:val="333333"/>
        </w:rPr>
        <w:t>Definere SVO-er (Særlig sårbare og verdifulle områder) som petroleumsfrie områder, hvor det ikke er tillatt med ny petroleumsvirksomhet.</w:t>
      </w:r>
    </w:p>
    <w:p w14:paraId="3C38865E" w14:textId="77777777" w:rsidR="001E39D9" w:rsidRDefault="00000000">
      <w:pPr>
        <w:numPr>
          <w:ilvl w:val="0"/>
          <w:numId w:val="1"/>
        </w:numPr>
        <w:spacing w:after="4" w:line="299" w:lineRule="auto"/>
        <w:ind w:hanging="360"/>
      </w:pPr>
      <w:r>
        <w:rPr>
          <w:rFonts w:ascii="Arial" w:eastAsia="Arial" w:hAnsi="Arial" w:cs="Arial"/>
          <w:color w:val="333333"/>
        </w:rPr>
        <w:t>Fase ut statlige bevilgninger til petroleumsforskning, seismikk og annen letevirksomhet. </w:t>
      </w:r>
    </w:p>
    <w:p w14:paraId="5F878C3A" w14:textId="2FCA9044" w:rsidR="001E39D9" w:rsidRDefault="00000000">
      <w:pPr>
        <w:numPr>
          <w:ilvl w:val="0"/>
          <w:numId w:val="1"/>
        </w:numPr>
        <w:spacing w:after="4" w:line="299" w:lineRule="auto"/>
        <w:ind w:hanging="360"/>
      </w:pPr>
      <w:r>
        <w:rPr>
          <w:rFonts w:ascii="Arial" w:eastAsia="Arial" w:hAnsi="Arial" w:cs="Arial"/>
          <w:color w:val="333333"/>
        </w:rPr>
        <w:t xml:space="preserve">Ikke tillate utbygging av ny gassrørledning gjennom Lofoten, Vesterålen og Senja, og endre mandatet til </w:t>
      </w:r>
      <w:proofErr w:type="spellStart"/>
      <w:r>
        <w:rPr>
          <w:rFonts w:ascii="Arial" w:eastAsia="Arial" w:hAnsi="Arial" w:cs="Arial"/>
          <w:color w:val="333333"/>
        </w:rPr>
        <w:t>Gassco</w:t>
      </w:r>
      <w:proofErr w:type="spellEnd"/>
      <w:r>
        <w:rPr>
          <w:rFonts w:ascii="Arial" w:eastAsia="Arial" w:hAnsi="Arial" w:cs="Arial"/>
          <w:color w:val="333333"/>
        </w:rPr>
        <w:t xml:space="preserve"> til å bli en forvalter av det allerede eksisterende transportsystemet for gass i Norge.</w:t>
      </w:r>
    </w:p>
    <w:p w14:paraId="6E1B833B" w14:textId="77777777" w:rsidR="001E39D9" w:rsidRDefault="00000000">
      <w:pPr>
        <w:numPr>
          <w:ilvl w:val="0"/>
          <w:numId w:val="1"/>
        </w:numPr>
        <w:spacing w:after="4" w:line="299" w:lineRule="auto"/>
        <w:ind w:hanging="360"/>
      </w:pPr>
      <w:r>
        <w:rPr>
          <w:rFonts w:ascii="Arial" w:eastAsia="Arial" w:hAnsi="Arial" w:cs="Arial"/>
          <w:color w:val="333333"/>
        </w:rPr>
        <w:lastRenderedPageBreak/>
        <w:t xml:space="preserve">Innføre en omstillingsavgift på produsert olje og gass som skal øremerkes til å utvikle nye næringer som er relevante i et </w:t>
      </w:r>
      <w:proofErr w:type="spellStart"/>
      <w:r>
        <w:rPr>
          <w:rFonts w:ascii="Arial" w:eastAsia="Arial" w:hAnsi="Arial" w:cs="Arial"/>
          <w:color w:val="333333"/>
        </w:rPr>
        <w:t>nullutslippsamfunn</w:t>
      </w:r>
      <w:proofErr w:type="spellEnd"/>
      <w:r>
        <w:rPr>
          <w:rFonts w:ascii="Arial" w:eastAsia="Arial" w:hAnsi="Arial" w:cs="Arial"/>
          <w:color w:val="333333"/>
        </w:rPr>
        <w:t>, som for eksempel havvind og grønt hydrogen. </w:t>
      </w:r>
    </w:p>
    <w:p w14:paraId="3086596F" w14:textId="5414749D" w:rsidR="001E39D9" w:rsidRDefault="00000000">
      <w:pPr>
        <w:numPr>
          <w:ilvl w:val="0"/>
          <w:numId w:val="1"/>
        </w:numPr>
        <w:spacing w:after="4" w:line="299" w:lineRule="auto"/>
        <w:ind w:hanging="360"/>
      </w:pPr>
      <w:r>
        <w:rPr>
          <w:rFonts w:ascii="Arial" w:eastAsia="Arial" w:hAnsi="Arial" w:cs="Arial"/>
          <w:color w:val="333333"/>
        </w:rPr>
        <w:t xml:space="preserve">Bruke finansielle virkemidler som økt CO2-avgift og endringer i skattesystemet for å stimulere til at feltene med høyest produksjonsutslipp og lavest lønnsomhet fases ut i et raskere tempo. Samtidig må det ikke åpnes for elektrifisering med </w:t>
      </w:r>
      <w:proofErr w:type="spellStart"/>
      <w:r>
        <w:rPr>
          <w:rFonts w:ascii="Arial" w:eastAsia="Arial" w:hAnsi="Arial" w:cs="Arial"/>
          <w:color w:val="333333"/>
        </w:rPr>
        <w:t>landstrøm</w:t>
      </w:r>
      <w:proofErr w:type="spellEnd"/>
      <w:r>
        <w:rPr>
          <w:rFonts w:ascii="Arial" w:eastAsia="Arial" w:hAnsi="Arial" w:cs="Arial"/>
          <w:color w:val="333333"/>
        </w:rPr>
        <w:t>, men pålegges utslippskutt på sokkelen gjennom energieffektiviserende tiltak, havvind eller produksjonsreduksjon.</w:t>
      </w:r>
    </w:p>
    <w:p w14:paraId="2D21B97D" w14:textId="77777777" w:rsidR="001E39D9" w:rsidRDefault="00000000">
      <w:pPr>
        <w:numPr>
          <w:ilvl w:val="0"/>
          <w:numId w:val="1"/>
        </w:numPr>
        <w:spacing w:after="4" w:line="299" w:lineRule="auto"/>
        <w:ind w:hanging="360"/>
      </w:pPr>
      <w:r>
        <w:rPr>
          <w:rFonts w:ascii="Arial" w:eastAsia="Arial" w:hAnsi="Arial" w:cs="Arial"/>
          <w:color w:val="333333"/>
        </w:rPr>
        <w:t>Ta en aktiv internasjonal rolle for en koordinert omstilling fra fossil energi, som inkluderer omstilling på tilbudssiden. Det bør innebære å inkludere informasjon om utvinning av og infrastruktur for fossil energi som en del av rapporteringen under Parisavtalen, og ta felles globale initiativ gjennom for eksempel Beyond Oil and Gas Alliance (BOGA) eller Arktisk Råd.</w:t>
      </w:r>
    </w:p>
    <w:sectPr w:rsidR="001E39D9">
      <w:footnotePr>
        <w:numRestart w:val="eachPage"/>
      </w:footnotePr>
      <w:pgSz w:w="12240" w:h="15840"/>
      <w:pgMar w:top="2750" w:right="1456" w:bottom="144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03882" w14:textId="77777777" w:rsidR="002328D9" w:rsidRDefault="002328D9">
      <w:pPr>
        <w:spacing w:after="0" w:line="240" w:lineRule="auto"/>
      </w:pPr>
      <w:r>
        <w:separator/>
      </w:r>
    </w:p>
  </w:endnote>
  <w:endnote w:type="continuationSeparator" w:id="0">
    <w:p w14:paraId="1089829A" w14:textId="77777777" w:rsidR="002328D9" w:rsidRDefault="0023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AEDFA" w14:textId="77777777" w:rsidR="002328D9" w:rsidRDefault="002328D9">
      <w:pPr>
        <w:spacing w:after="0"/>
      </w:pPr>
      <w:r>
        <w:separator/>
      </w:r>
    </w:p>
  </w:footnote>
  <w:footnote w:type="continuationSeparator" w:id="0">
    <w:p w14:paraId="7E35DE5A" w14:textId="77777777" w:rsidR="002328D9" w:rsidRDefault="002328D9">
      <w:pPr>
        <w:spacing w:after="0"/>
      </w:pPr>
      <w:r>
        <w:continuationSeparator/>
      </w:r>
    </w:p>
  </w:footnote>
  <w:footnote w:id="1">
    <w:p w14:paraId="41B61394" w14:textId="77777777" w:rsidR="001E39D9" w:rsidRDefault="00000000">
      <w:pPr>
        <w:pStyle w:val="footnotedescription"/>
      </w:pPr>
      <w:r>
        <w:rPr>
          <w:rStyle w:val="footnotemark"/>
        </w:rPr>
        <w:footnoteRef/>
      </w:r>
      <w:r>
        <w:t xml:space="preserve"> </w:t>
      </w:r>
      <w:hyperlink r:id="rId1">
        <w:r>
          <w:t>https://www.ipcc.ch/report/ar6/syr/downloads/report/IPCC_AR6_SYR_SPM.pdf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C673E"/>
    <w:multiLevelType w:val="hybridMultilevel"/>
    <w:tmpl w:val="0B367F44"/>
    <w:lvl w:ilvl="0" w:tplc="FBFA30AC">
      <w:start w:val="1"/>
      <w:numFmt w:val="decimal"/>
      <w:lvlText w:val="%1."/>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B088F99C">
      <w:start w:val="1"/>
      <w:numFmt w:val="lowerLetter"/>
      <w:lvlText w:val="%2"/>
      <w:lvlJc w:val="left"/>
      <w:pPr>
        <w:ind w:left="136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83D03BDC">
      <w:start w:val="1"/>
      <w:numFmt w:val="lowerRoman"/>
      <w:lvlText w:val="%3"/>
      <w:lvlJc w:val="left"/>
      <w:pPr>
        <w:ind w:left="208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BE461F7E">
      <w:start w:val="1"/>
      <w:numFmt w:val="decimal"/>
      <w:lvlText w:val="%4"/>
      <w:lvlJc w:val="left"/>
      <w:pPr>
        <w:ind w:left="28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9CB40EAC">
      <w:start w:val="1"/>
      <w:numFmt w:val="lowerLetter"/>
      <w:lvlText w:val="%5"/>
      <w:lvlJc w:val="left"/>
      <w:pPr>
        <w:ind w:left="352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D706C00">
      <w:start w:val="1"/>
      <w:numFmt w:val="lowerRoman"/>
      <w:lvlText w:val="%6"/>
      <w:lvlJc w:val="left"/>
      <w:pPr>
        <w:ind w:left="424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AE7EA298">
      <w:start w:val="1"/>
      <w:numFmt w:val="decimal"/>
      <w:lvlText w:val="%7"/>
      <w:lvlJc w:val="left"/>
      <w:pPr>
        <w:ind w:left="496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1D26066">
      <w:start w:val="1"/>
      <w:numFmt w:val="lowerLetter"/>
      <w:lvlText w:val="%8"/>
      <w:lvlJc w:val="left"/>
      <w:pPr>
        <w:ind w:left="568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878996C">
      <w:start w:val="1"/>
      <w:numFmt w:val="lowerRoman"/>
      <w:lvlText w:val="%9"/>
      <w:lvlJc w:val="left"/>
      <w:pPr>
        <w:ind w:left="64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num w:numId="1" w16cid:durableId="128773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D9"/>
    <w:rsid w:val="001609A5"/>
    <w:rsid w:val="001E39D9"/>
    <w:rsid w:val="002328D9"/>
    <w:rsid w:val="00C912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BEB1"/>
  <w15:docId w15:val="{F7498DB0-6452-4E2C-ADEC-183AD57A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1155CC"/>
      <w:sz w:val="20"/>
      <w:u w:val="single" w:color="1155CC"/>
    </w:rPr>
  </w:style>
  <w:style w:type="character" w:customStyle="1" w:styleId="footnotedescriptionChar">
    <w:name w:val="footnote description Char"/>
    <w:link w:val="footnotedescription"/>
    <w:rPr>
      <w:rFonts w:ascii="Arial" w:eastAsia="Arial" w:hAnsi="Arial" w:cs="Arial"/>
      <w:color w:val="1155CC"/>
      <w:sz w:val="20"/>
      <w:u w:val="single" w:color="1155CC"/>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report/ar6/syr/downloads/report/IPCC_AR6_SYR_SPM.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2716</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avgjørende omstillingsperiode</dc:title>
  <dc:subject/>
  <dc:creator>Jesper Stattin</dc:creator>
  <cp:keywords/>
  <cp:lastModifiedBy>Jesper Stattin</cp:lastModifiedBy>
  <cp:revision>2</cp:revision>
  <dcterms:created xsi:type="dcterms:W3CDTF">2024-09-12T19:20:00Z</dcterms:created>
  <dcterms:modified xsi:type="dcterms:W3CDTF">2024-09-12T19:20:00Z</dcterms:modified>
</cp:coreProperties>
</file>